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A307" w14:textId="5944CE02" w:rsidR="007A512C" w:rsidRPr="000B122A" w:rsidRDefault="00000000" w:rsidP="006819EE">
      <w:pPr>
        <w:rPr>
          <w:rFonts w:asciiTheme="majorHAnsi" w:hAnsiTheme="majorHAnsi" w:cstheme="majorHAnsi"/>
          <w:b/>
          <w:bCs/>
          <w:sz w:val="24"/>
          <w:szCs w:val="24"/>
        </w:rPr>
      </w:pPr>
      <w:r w:rsidRPr="000B122A">
        <w:rPr>
          <w:rFonts w:asciiTheme="majorHAnsi" w:hAnsiTheme="majorHAnsi" w:cstheme="majorHAnsi"/>
          <w:b/>
          <w:bCs/>
          <w:sz w:val="24"/>
          <w:szCs w:val="24"/>
        </w:rPr>
        <w:t>Promotional Share Certificate Rates</w:t>
      </w:r>
      <w:r w:rsidR="000B122A" w:rsidRPr="000B122A">
        <w:rPr>
          <w:rFonts w:asciiTheme="majorHAnsi" w:hAnsiTheme="majorHAnsi" w:cstheme="majorHAnsi"/>
          <w:b/>
          <w:bCs/>
          <w:sz w:val="24"/>
          <w:szCs w:val="24"/>
        </w:rPr>
        <w:t xml:space="preserve"> effective </w:t>
      </w:r>
      <w:r w:rsidR="00D71AB9">
        <w:rPr>
          <w:rFonts w:asciiTheme="majorHAnsi" w:hAnsiTheme="majorHAnsi" w:cstheme="majorHAnsi"/>
          <w:b/>
          <w:bCs/>
          <w:sz w:val="24"/>
          <w:szCs w:val="24"/>
        </w:rPr>
        <w:t>January 1</w:t>
      </w:r>
      <w:r w:rsidR="000B122A" w:rsidRPr="000B122A">
        <w:rPr>
          <w:rFonts w:asciiTheme="majorHAnsi" w:hAnsiTheme="majorHAnsi" w:cstheme="majorHAnsi"/>
          <w:b/>
          <w:bCs/>
          <w:sz w:val="24"/>
          <w:szCs w:val="24"/>
        </w:rPr>
        <w:t>, 2025</w:t>
      </w:r>
    </w:p>
    <w:tbl>
      <w:tblPr>
        <w:tblStyle w:val="GridTable4-Accent1"/>
        <w:tblW w:w="0" w:type="auto"/>
        <w:tblLook w:val="04A0" w:firstRow="1" w:lastRow="0" w:firstColumn="1" w:lastColumn="0" w:noHBand="0" w:noVBand="1"/>
      </w:tblPr>
      <w:tblGrid>
        <w:gridCol w:w="1278"/>
        <w:gridCol w:w="1232"/>
        <w:gridCol w:w="1466"/>
        <w:gridCol w:w="1388"/>
        <w:gridCol w:w="1052"/>
        <w:gridCol w:w="1388"/>
        <w:gridCol w:w="1052"/>
      </w:tblGrid>
      <w:tr w:rsidR="006819EE" w:rsidRPr="000B122A" w14:paraId="545CFF1A" w14:textId="77777777" w:rsidTr="00DE1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0B00855" w14:textId="7F0220B6" w:rsidR="007A512C" w:rsidRPr="000B122A" w:rsidRDefault="007A512C">
            <w:pPr>
              <w:rPr>
                <w:rFonts w:asciiTheme="majorHAnsi" w:hAnsiTheme="majorHAnsi" w:cstheme="majorHAnsi"/>
              </w:rPr>
            </w:pPr>
          </w:p>
        </w:tc>
        <w:tc>
          <w:tcPr>
            <w:tcW w:w="2324" w:type="dxa"/>
            <w:gridSpan w:val="2"/>
            <w:tcBorders>
              <w:top w:val="single" w:sz="4" w:space="0" w:color="auto"/>
              <w:left w:val="single" w:sz="4" w:space="0" w:color="auto"/>
              <w:bottom w:val="single" w:sz="4" w:space="0" w:color="auto"/>
              <w:right w:val="single" w:sz="4" w:space="0" w:color="auto"/>
            </w:tcBorders>
          </w:tcPr>
          <w:p w14:paraId="02C86674" w14:textId="36E71150"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Standard Pricing </w:t>
            </w:r>
          </w:p>
          <w:p w14:paraId="05D59C60"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$500 Minimum</w:t>
            </w:r>
          </w:p>
          <w:p w14:paraId="7C3C4E9C" w14:textId="6EDCD59B"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(Non-PFI &amp; PFI Members)</w:t>
            </w:r>
          </w:p>
        </w:tc>
        <w:tc>
          <w:tcPr>
            <w:tcW w:w="0" w:type="auto"/>
            <w:gridSpan w:val="2"/>
            <w:tcBorders>
              <w:top w:val="single" w:sz="4" w:space="0" w:color="auto"/>
              <w:left w:val="single" w:sz="4" w:space="0" w:color="auto"/>
              <w:bottom w:val="single" w:sz="4" w:space="0" w:color="auto"/>
              <w:right w:val="single" w:sz="4" w:space="0" w:color="auto"/>
            </w:tcBorders>
          </w:tcPr>
          <w:p w14:paraId="36BC665E" w14:textId="0BDADC1B"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Jumbo Pricing </w:t>
            </w:r>
          </w:p>
          <w:p w14:paraId="759E6C1C"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$100,000 Minimum</w:t>
            </w:r>
          </w:p>
          <w:p w14:paraId="30A0BD8C" w14:textId="59A65A5E"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0B122A">
              <w:rPr>
                <w:rFonts w:asciiTheme="majorHAnsi" w:hAnsiTheme="majorHAnsi" w:cstheme="majorHAnsi"/>
              </w:rPr>
              <w:t>(PFI Members Only)</w:t>
            </w:r>
          </w:p>
        </w:tc>
        <w:tc>
          <w:tcPr>
            <w:tcW w:w="0" w:type="auto"/>
            <w:gridSpan w:val="2"/>
            <w:tcBorders>
              <w:top w:val="single" w:sz="4" w:space="0" w:color="auto"/>
              <w:left w:val="single" w:sz="4" w:space="0" w:color="auto"/>
              <w:bottom w:val="single" w:sz="4" w:space="0" w:color="auto"/>
              <w:right w:val="single" w:sz="4" w:space="0" w:color="auto"/>
            </w:tcBorders>
          </w:tcPr>
          <w:p w14:paraId="7DA03912" w14:textId="7816DBDB"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Jumbo Plus Pricing </w:t>
            </w:r>
          </w:p>
          <w:p w14:paraId="574D80F6"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$250,000 Minimum</w:t>
            </w:r>
          </w:p>
          <w:p w14:paraId="21946114" w14:textId="53594285"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0B122A">
              <w:rPr>
                <w:rFonts w:asciiTheme="majorHAnsi" w:hAnsiTheme="majorHAnsi" w:cstheme="majorHAnsi"/>
              </w:rPr>
              <w:t>(PFI Members Only)</w:t>
            </w:r>
          </w:p>
        </w:tc>
      </w:tr>
      <w:tr w:rsidR="000B122A" w:rsidRPr="000B122A" w14:paraId="627D03B9" w14:textId="77777777" w:rsidTr="00DE1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vAlign w:val="center"/>
          </w:tcPr>
          <w:p w14:paraId="0EB36330" w14:textId="01BE22AE" w:rsidR="006819EE" w:rsidRPr="000B122A" w:rsidRDefault="006819EE" w:rsidP="000B122A">
            <w:pPr>
              <w:jc w:val="center"/>
              <w:rPr>
                <w:rFonts w:asciiTheme="majorHAnsi" w:hAnsiTheme="majorHAnsi" w:cstheme="majorHAnsi"/>
              </w:rPr>
            </w:pPr>
            <w:r w:rsidRPr="000B122A">
              <w:rPr>
                <w:rFonts w:asciiTheme="majorHAnsi" w:hAnsiTheme="majorHAnsi" w:cstheme="majorHAnsi"/>
              </w:rPr>
              <w:t>Term</w:t>
            </w:r>
          </w:p>
        </w:tc>
        <w:tc>
          <w:tcPr>
            <w:tcW w:w="1232" w:type="dxa"/>
            <w:tcBorders>
              <w:top w:val="single" w:sz="4" w:space="0" w:color="auto"/>
            </w:tcBorders>
            <w:vAlign w:val="center"/>
          </w:tcPr>
          <w:p w14:paraId="40634FF7" w14:textId="4FCE8A94" w:rsidR="000B122A" w:rsidRPr="000B122A" w:rsidRDefault="000B122A"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12F0DAA4" w14:textId="67D12BD1"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c>
          <w:tcPr>
            <w:tcW w:w="0" w:type="auto"/>
            <w:tcBorders>
              <w:top w:val="single" w:sz="4" w:space="0" w:color="auto"/>
            </w:tcBorders>
            <w:vAlign w:val="center"/>
          </w:tcPr>
          <w:p w14:paraId="3A86D6B8" w14:textId="5B64821D"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3D0093E1" w14:textId="12EF950F"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c>
          <w:tcPr>
            <w:tcW w:w="0" w:type="auto"/>
            <w:tcBorders>
              <w:top w:val="single" w:sz="4" w:space="0" w:color="auto"/>
            </w:tcBorders>
            <w:vAlign w:val="center"/>
          </w:tcPr>
          <w:p w14:paraId="7136E4E9" w14:textId="14EA89BD"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5A35F175" w14:textId="1556125B"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r>
      <w:tr w:rsidR="000B122A" w:rsidRPr="000B122A" w14:paraId="56D0FAB0" w14:textId="77777777" w:rsidTr="000B122A">
        <w:tc>
          <w:tcPr>
            <w:cnfStyle w:val="001000000000" w:firstRow="0" w:lastRow="0" w:firstColumn="1" w:lastColumn="0" w:oddVBand="0" w:evenVBand="0" w:oddHBand="0" w:evenHBand="0" w:firstRowFirstColumn="0" w:firstRowLastColumn="0" w:lastRowFirstColumn="0" w:lastRowLastColumn="0"/>
            <w:tcW w:w="1278" w:type="dxa"/>
          </w:tcPr>
          <w:p w14:paraId="77A987A9" w14:textId="495676F0" w:rsidR="000B122A" w:rsidRPr="000B122A" w:rsidRDefault="000B122A" w:rsidP="000B122A">
            <w:pPr>
              <w:jc w:val="center"/>
              <w:rPr>
                <w:rFonts w:asciiTheme="majorHAnsi" w:hAnsiTheme="majorHAnsi" w:cstheme="majorHAnsi"/>
              </w:rPr>
            </w:pPr>
            <w:r w:rsidRPr="000B122A">
              <w:rPr>
                <w:rFonts w:asciiTheme="majorHAnsi" w:hAnsiTheme="majorHAnsi" w:cstheme="majorHAnsi"/>
              </w:rPr>
              <w:t>1</w:t>
            </w:r>
            <w:r w:rsidR="00D71AB9">
              <w:rPr>
                <w:rFonts w:asciiTheme="majorHAnsi" w:hAnsiTheme="majorHAnsi" w:cstheme="majorHAnsi"/>
              </w:rPr>
              <w:t xml:space="preserve">3 </w:t>
            </w:r>
            <w:r w:rsidRPr="000B122A">
              <w:rPr>
                <w:rFonts w:asciiTheme="majorHAnsi" w:hAnsiTheme="majorHAnsi" w:cstheme="majorHAnsi"/>
              </w:rPr>
              <w:t>Months</w:t>
            </w:r>
          </w:p>
        </w:tc>
        <w:tc>
          <w:tcPr>
            <w:tcW w:w="1232" w:type="dxa"/>
          </w:tcPr>
          <w:p w14:paraId="3DC66112" w14:textId="180C4C48" w:rsidR="000B122A" w:rsidRPr="000B122A" w:rsidRDefault="00D71AB9"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3.75</w:t>
            </w:r>
            <w:r w:rsidR="000B122A" w:rsidRPr="000B122A">
              <w:rPr>
                <w:rFonts w:asciiTheme="majorHAnsi" w:hAnsiTheme="majorHAnsi" w:cstheme="majorHAnsi"/>
              </w:rPr>
              <w:t>%</w:t>
            </w:r>
          </w:p>
        </w:tc>
        <w:tc>
          <w:tcPr>
            <w:tcW w:w="0" w:type="auto"/>
          </w:tcPr>
          <w:p w14:paraId="7E86C0FC" w14:textId="768F42EF"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3.</w:t>
            </w:r>
            <w:r w:rsidR="00D71AB9">
              <w:rPr>
                <w:rFonts w:asciiTheme="majorHAnsi" w:hAnsiTheme="majorHAnsi" w:cstheme="majorHAnsi"/>
              </w:rPr>
              <w:t>68</w:t>
            </w:r>
            <w:r w:rsidRPr="000B122A">
              <w:rPr>
                <w:rFonts w:asciiTheme="majorHAnsi" w:hAnsiTheme="majorHAnsi" w:cstheme="majorHAnsi"/>
              </w:rPr>
              <w:t>%</w:t>
            </w:r>
          </w:p>
        </w:tc>
        <w:tc>
          <w:tcPr>
            <w:tcW w:w="0" w:type="auto"/>
          </w:tcPr>
          <w:p w14:paraId="12A66E66" w14:textId="488C115B"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00</w:t>
            </w:r>
            <w:r w:rsidRPr="000B122A">
              <w:rPr>
                <w:rFonts w:asciiTheme="majorHAnsi" w:hAnsiTheme="majorHAnsi" w:cstheme="majorHAnsi"/>
              </w:rPr>
              <w:t>%</w:t>
            </w:r>
          </w:p>
        </w:tc>
        <w:tc>
          <w:tcPr>
            <w:tcW w:w="0" w:type="auto"/>
          </w:tcPr>
          <w:p w14:paraId="15E5F36F" w14:textId="2D8BC9AB" w:rsidR="000B122A" w:rsidRPr="000B122A" w:rsidRDefault="00D71AB9"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3.92</w:t>
            </w:r>
            <w:r w:rsidR="000B122A" w:rsidRPr="000B122A">
              <w:rPr>
                <w:rFonts w:asciiTheme="majorHAnsi" w:hAnsiTheme="majorHAnsi" w:cstheme="majorHAnsi"/>
              </w:rPr>
              <w:t>%</w:t>
            </w:r>
          </w:p>
        </w:tc>
        <w:tc>
          <w:tcPr>
            <w:tcW w:w="0" w:type="auto"/>
          </w:tcPr>
          <w:p w14:paraId="31B89B87" w14:textId="3A6542AE"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25</w:t>
            </w:r>
            <w:r w:rsidRPr="000B122A">
              <w:rPr>
                <w:rFonts w:asciiTheme="majorHAnsi" w:hAnsiTheme="majorHAnsi" w:cstheme="majorHAnsi"/>
              </w:rPr>
              <w:t>%</w:t>
            </w:r>
          </w:p>
        </w:tc>
        <w:tc>
          <w:tcPr>
            <w:tcW w:w="0" w:type="auto"/>
          </w:tcPr>
          <w:p w14:paraId="12335859" w14:textId="5DC8E544"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16</w:t>
            </w:r>
            <w:r w:rsidRPr="000B122A">
              <w:rPr>
                <w:rFonts w:asciiTheme="majorHAnsi" w:hAnsiTheme="majorHAnsi" w:cstheme="majorHAnsi"/>
              </w:rPr>
              <w:t>%</w:t>
            </w:r>
          </w:p>
        </w:tc>
      </w:tr>
    </w:tbl>
    <w:p w14:paraId="714EBF29" w14:textId="77777777" w:rsidR="007A512C" w:rsidRPr="00DE1235" w:rsidRDefault="00000000">
      <w:pPr>
        <w:rPr>
          <w:rFonts w:asciiTheme="majorHAnsi" w:hAnsiTheme="majorHAnsi" w:cstheme="majorHAnsi"/>
          <w:b/>
          <w:bCs/>
        </w:rPr>
      </w:pPr>
      <w:r>
        <w:br/>
      </w:r>
      <w:r w:rsidRPr="00DE1235">
        <w:rPr>
          <w:rFonts w:asciiTheme="majorHAnsi" w:hAnsiTheme="majorHAnsi" w:cstheme="majorHAnsi"/>
          <w:b/>
          <w:bCs/>
        </w:rPr>
        <w:t>Note: Jumbo and Jumbo Plus Pricing are only available to PFI Members. Non-PFI members qualify for Standard Pricing only.</w:t>
      </w:r>
    </w:p>
    <w:p w14:paraId="63A1D585" w14:textId="71BB0AD1" w:rsidR="007A512C" w:rsidRPr="000B122A" w:rsidRDefault="00000000">
      <w:pPr>
        <w:rPr>
          <w:rFonts w:asciiTheme="majorHAnsi" w:hAnsiTheme="majorHAnsi" w:cstheme="majorHAnsi"/>
          <w:b/>
          <w:bCs/>
        </w:rPr>
      </w:pPr>
      <w:r w:rsidRPr="000B122A">
        <w:rPr>
          <w:rFonts w:asciiTheme="majorHAnsi" w:hAnsiTheme="majorHAnsi" w:cstheme="majorHAnsi"/>
          <w:b/>
          <w:bCs/>
        </w:rPr>
        <w:t>Dividend Rate Information:</w:t>
      </w:r>
      <w:r w:rsidR="000B122A">
        <w:rPr>
          <w:rFonts w:asciiTheme="majorHAnsi" w:hAnsiTheme="majorHAnsi" w:cstheme="majorHAnsi"/>
          <w:b/>
          <w:bCs/>
        </w:rPr>
        <w:t xml:space="preserve"> </w:t>
      </w:r>
      <w:r w:rsidRPr="000B122A">
        <w:rPr>
          <w:rFonts w:asciiTheme="majorHAnsi" w:hAnsiTheme="majorHAnsi" w:cstheme="majorHAnsi"/>
        </w:rPr>
        <w:t>The APY is a percentage rate that reflects the total amount of dividends to be paid on an account based on the Dividend Rate and frequency of compounding for an annual period. The Dividend Rate and APY are fixed and will be in effect for the term of the share certificate account. The APY assumes that dividends will remain on deposit until maturity. Early withdrawal will reduce earning balances and related earnings by up to six months’ amount of interest.</w:t>
      </w:r>
    </w:p>
    <w:p w14:paraId="74BD2106" w14:textId="66E7C3E8" w:rsidR="007A512C" w:rsidRPr="000B122A" w:rsidRDefault="00000000">
      <w:pPr>
        <w:rPr>
          <w:rFonts w:asciiTheme="majorHAnsi" w:hAnsiTheme="majorHAnsi" w:cstheme="majorHAnsi"/>
          <w:b/>
          <w:bCs/>
        </w:rPr>
      </w:pPr>
      <w:r w:rsidRPr="000B122A">
        <w:rPr>
          <w:rFonts w:asciiTheme="majorHAnsi" w:hAnsiTheme="majorHAnsi" w:cstheme="majorHAnsi"/>
          <w:b/>
          <w:bCs/>
        </w:rPr>
        <w:t>Dividend Compounding and Crediting:</w:t>
      </w:r>
      <w:r w:rsidR="000B122A">
        <w:rPr>
          <w:rFonts w:asciiTheme="majorHAnsi" w:hAnsiTheme="majorHAnsi" w:cstheme="majorHAnsi"/>
          <w:b/>
          <w:bCs/>
        </w:rPr>
        <w:t xml:space="preserve"> </w:t>
      </w:r>
      <w:r w:rsidRPr="000B122A">
        <w:rPr>
          <w:rFonts w:asciiTheme="majorHAnsi" w:hAnsiTheme="majorHAnsi" w:cstheme="majorHAnsi"/>
        </w:rPr>
        <w:t>Dividends are compounded and credited monthly. The Dividend Period is the period at the end of which an account earns dividend credit and begins on the first calendar day of the month. The period ends on the last calendar day of the month. Dividends begin to accrue on the business day on which deposits of cash and/or non-cash items (e.g. checks) are made to the account. If the account is closed before accrued dividends are credited, accrued dividends will not be paid for the last dividend period.</w:t>
      </w:r>
    </w:p>
    <w:p w14:paraId="697B2916" w14:textId="75C5DE1F" w:rsidR="007A512C" w:rsidRPr="000B122A" w:rsidRDefault="00000000">
      <w:pPr>
        <w:rPr>
          <w:rFonts w:asciiTheme="majorHAnsi" w:hAnsiTheme="majorHAnsi" w:cstheme="majorHAnsi"/>
          <w:b/>
          <w:bCs/>
        </w:rPr>
      </w:pPr>
      <w:r w:rsidRPr="000B122A">
        <w:rPr>
          <w:rFonts w:asciiTheme="majorHAnsi" w:hAnsiTheme="majorHAnsi" w:cstheme="majorHAnsi"/>
          <w:b/>
          <w:bCs/>
        </w:rPr>
        <w:t>What is a PFI Member?</w:t>
      </w:r>
      <w:r w:rsidR="000B122A">
        <w:rPr>
          <w:rFonts w:asciiTheme="majorHAnsi" w:hAnsiTheme="majorHAnsi" w:cstheme="majorHAnsi"/>
          <w:b/>
          <w:bCs/>
        </w:rPr>
        <w:t xml:space="preserve"> </w:t>
      </w:r>
      <w:r w:rsidRPr="000B122A">
        <w:rPr>
          <w:rFonts w:asciiTheme="majorHAnsi" w:hAnsiTheme="majorHAnsi" w:cstheme="majorHAnsi"/>
        </w:rPr>
        <w:t>A Primary Financial Institution (PFI) member actively uses Pioneer AFCU for their everyday banking, including checking, direct deposit, and bill pay. Establishing a PFI relationship unlocks access to our best rates and financial benefits.</w:t>
      </w:r>
    </w:p>
    <w:p w14:paraId="2E579E55" w14:textId="3E1BC7D8" w:rsidR="007A512C" w:rsidRPr="000B122A" w:rsidRDefault="00000000">
      <w:pPr>
        <w:rPr>
          <w:rFonts w:asciiTheme="majorHAnsi" w:hAnsiTheme="majorHAnsi" w:cstheme="majorHAnsi"/>
          <w:b/>
          <w:bCs/>
        </w:rPr>
      </w:pPr>
      <w:r w:rsidRPr="000B122A">
        <w:rPr>
          <w:rFonts w:asciiTheme="majorHAnsi" w:hAnsiTheme="majorHAnsi" w:cstheme="majorHAnsi"/>
          <w:b/>
          <w:bCs/>
        </w:rPr>
        <w:t>Share Certificate Auto-Renewal:</w:t>
      </w:r>
      <w:r w:rsidR="000B122A">
        <w:rPr>
          <w:rFonts w:asciiTheme="majorHAnsi" w:hAnsiTheme="majorHAnsi" w:cstheme="majorHAnsi"/>
          <w:b/>
          <w:bCs/>
        </w:rPr>
        <w:t xml:space="preserve"> </w:t>
      </w:r>
      <w:r w:rsidRPr="000B122A">
        <w:rPr>
          <w:rFonts w:asciiTheme="majorHAnsi" w:hAnsiTheme="majorHAnsi" w:cstheme="majorHAnsi"/>
        </w:rPr>
        <w:t>Share certificate accounts will automatically renew upon maturity unless set up to transfer to another account while opening the share certificate account. Rate and term may be subject to change upon renewal if the previous rate and term are unavailable. A grace period of 10 calendar days is provided upon maturity that allows funds to be withdrawn or transferred without penalty by members. Notification of share certificate maturity date will be sent to members via mail prior to that date.</w:t>
      </w:r>
    </w:p>
    <w:p w14:paraId="1D46AD96" w14:textId="204E86BF" w:rsidR="000B122A" w:rsidRPr="000B122A" w:rsidRDefault="00000000" w:rsidP="000B122A">
      <w:pPr>
        <w:spacing w:after="0" w:line="240" w:lineRule="auto"/>
        <w:jc w:val="center"/>
        <w:rPr>
          <w:rFonts w:asciiTheme="majorHAnsi" w:hAnsiTheme="majorHAnsi" w:cstheme="majorHAnsi"/>
        </w:rPr>
      </w:pPr>
      <w:r w:rsidRPr="000B122A">
        <w:rPr>
          <w:rFonts w:asciiTheme="majorHAnsi" w:hAnsiTheme="majorHAnsi" w:cstheme="majorHAnsi"/>
        </w:rPr>
        <w:br/>
        <w:t>Federally insured by NCUA.</w:t>
      </w:r>
      <w:r w:rsidRPr="000B122A">
        <w:rPr>
          <w:rFonts w:asciiTheme="majorHAnsi" w:hAnsiTheme="majorHAnsi" w:cstheme="majorHAnsi"/>
        </w:rPr>
        <w:br/>
        <w:t>Deposits with Pioneer AFCU are federally insured by</w:t>
      </w:r>
    </w:p>
    <w:p w14:paraId="7455D48C" w14:textId="1DB0A8C1" w:rsidR="000B122A" w:rsidRPr="000B122A" w:rsidRDefault="00000000" w:rsidP="000B122A">
      <w:pPr>
        <w:spacing w:after="0" w:line="240" w:lineRule="auto"/>
        <w:jc w:val="center"/>
        <w:rPr>
          <w:rFonts w:asciiTheme="majorHAnsi" w:hAnsiTheme="majorHAnsi" w:cstheme="majorHAnsi"/>
        </w:rPr>
      </w:pPr>
      <w:r w:rsidRPr="000B122A">
        <w:rPr>
          <w:rFonts w:asciiTheme="majorHAnsi" w:hAnsiTheme="majorHAnsi" w:cstheme="majorHAnsi"/>
        </w:rPr>
        <w:t>the National Credit Union Share Insurance Fund (NCUSIF) up to $250,000.</w:t>
      </w:r>
    </w:p>
    <w:p w14:paraId="4B33E114" w14:textId="77777777" w:rsidR="000B122A" w:rsidRPr="000B122A" w:rsidRDefault="000B122A" w:rsidP="000B122A">
      <w:pPr>
        <w:spacing w:after="0" w:line="240" w:lineRule="auto"/>
        <w:rPr>
          <w:rFonts w:asciiTheme="majorHAnsi" w:hAnsiTheme="majorHAnsi" w:cstheme="majorHAnsi"/>
        </w:rPr>
      </w:pPr>
    </w:p>
    <w:p w14:paraId="35200890" w14:textId="77777777" w:rsidR="000B122A" w:rsidRPr="000B122A" w:rsidRDefault="00000000" w:rsidP="000B122A">
      <w:pPr>
        <w:spacing w:after="0"/>
        <w:jc w:val="center"/>
        <w:rPr>
          <w:rFonts w:asciiTheme="majorHAnsi" w:hAnsiTheme="majorHAnsi" w:cstheme="majorHAnsi"/>
        </w:rPr>
      </w:pPr>
      <w:r w:rsidRPr="000B122A">
        <w:rPr>
          <w:rFonts w:asciiTheme="majorHAnsi" w:hAnsiTheme="majorHAnsi" w:cstheme="majorHAnsi"/>
        </w:rPr>
        <w:t>Details on how share insurance works can</w:t>
      </w:r>
    </w:p>
    <w:p w14:paraId="7261F572" w14:textId="40F9E0A6" w:rsidR="007A512C" w:rsidRPr="000B122A" w:rsidRDefault="00000000" w:rsidP="000B122A">
      <w:pPr>
        <w:jc w:val="center"/>
        <w:rPr>
          <w:rFonts w:asciiTheme="majorHAnsi" w:hAnsiTheme="majorHAnsi" w:cstheme="majorHAnsi"/>
          <w:color w:val="1F497D" w:themeColor="text2"/>
        </w:rPr>
      </w:pPr>
      <w:r w:rsidRPr="000B122A">
        <w:rPr>
          <w:rFonts w:asciiTheme="majorHAnsi" w:hAnsiTheme="majorHAnsi" w:cstheme="majorHAnsi"/>
        </w:rPr>
        <w:t xml:space="preserve">be found at: </w:t>
      </w:r>
      <w:hyperlink r:id="rId6" w:history="1">
        <w:r w:rsidR="007A512C" w:rsidRPr="000B122A">
          <w:rPr>
            <w:rStyle w:val="Hyperlink"/>
            <w:rFonts w:asciiTheme="majorHAnsi" w:hAnsiTheme="majorHAnsi" w:cstheme="majorHAnsi"/>
            <w:color w:val="1F497D" w:themeColor="text2"/>
          </w:rPr>
          <w:t>https://www.mycreditunion.gov/share-insurance</w:t>
        </w:r>
      </w:hyperlink>
    </w:p>
    <w:sectPr w:rsidR="007A512C" w:rsidRPr="000B12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5491042">
    <w:abstractNumId w:val="8"/>
  </w:num>
  <w:num w:numId="2" w16cid:durableId="965818147">
    <w:abstractNumId w:val="6"/>
  </w:num>
  <w:num w:numId="3" w16cid:durableId="704331727">
    <w:abstractNumId w:val="5"/>
  </w:num>
  <w:num w:numId="4" w16cid:durableId="153038406">
    <w:abstractNumId w:val="4"/>
  </w:num>
  <w:num w:numId="5" w16cid:durableId="792867005">
    <w:abstractNumId w:val="7"/>
  </w:num>
  <w:num w:numId="6" w16cid:durableId="465584912">
    <w:abstractNumId w:val="3"/>
  </w:num>
  <w:num w:numId="7" w16cid:durableId="1287470145">
    <w:abstractNumId w:val="2"/>
  </w:num>
  <w:num w:numId="8" w16cid:durableId="1522669708">
    <w:abstractNumId w:val="1"/>
  </w:num>
  <w:num w:numId="9" w16cid:durableId="194827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FE2"/>
    <w:rsid w:val="0006063C"/>
    <w:rsid w:val="000B122A"/>
    <w:rsid w:val="0015074B"/>
    <w:rsid w:val="0029639D"/>
    <w:rsid w:val="00326F90"/>
    <w:rsid w:val="004A03AB"/>
    <w:rsid w:val="00533BFF"/>
    <w:rsid w:val="006819EE"/>
    <w:rsid w:val="00762516"/>
    <w:rsid w:val="007A512C"/>
    <w:rsid w:val="00AA1D8D"/>
    <w:rsid w:val="00B47730"/>
    <w:rsid w:val="00C96707"/>
    <w:rsid w:val="00CB0664"/>
    <w:rsid w:val="00D71AB9"/>
    <w:rsid w:val="00DE12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76765"/>
  <w14:defaultImageDpi w14:val="300"/>
  <w15:docId w15:val="{170EF3E6-2008-4F39-9E29-451F7BB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Accent1">
    <w:name w:val="Grid Table 5 Dark Accent 1"/>
    <w:basedOn w:val="TableNormal"/>
    <w:uiPriority w:val="50"/>
    <w:rsid w:val="006819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6819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0B122A"/>
    <w:rPr>
      <w:color w:val="0000FF" w:themeColor="hyperlink"/>
      <w:u w:val="single"/>
    </w:rPr>
  </w:style>
  <w:style w:type="character" w:styleId="UnresolvedMention">
    <w:name w:val="Unresolved Mention"/>
    <w:basedOn w:val="DefaultParagraphFont"/>
    <w:uiPriority w:val="99"/>
    <w:semiHidden/>
    <w:unhideWhenUsed/>
    <w:rsid w:val="000B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ycreditunion.gov/share-insura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2240</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Jacob Losh</cp:lastModifiedBy>
  <cp:revision>2</cp:revision>
  <cp:lastPrinted>2025-02-20T15:33:00Z</cp:lastPrinted>
  <dcterms:created xsi:type="dcterms:W3CDTF">2026-01-02T14:39:00Z</dcterms:created>
  <dcterms:modified xsi:type="dcterms:W3CDTF">2026-01-02T14:39:00Z</dcterms:modified>
  <cp:category/>
</cp:coreProperties>
</file>