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3A71" w14:textId="35CFCA93" w:rsidR="00163B7E" w:rsidRDefault="009F5143">
      <w:pPr>
        <w:pStyle w:val="BodyText"/>
        <w:ind w:left="29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7F9B3719" wp14:editId="58AE65ED">
            <wp:simplePos x="0" y="0"/>
            <wp:positionH relativeFrom="column">
              <wp:posOffset>1911350</wp:posOffset>
            </wp:positionH>
            <wp:positionV relativeFrom="paragraph">
              <wp:posOffset>-339725</wp:posOffset>
            </wp:positionV>
            <wp:extent cx="2209800" cy="698529"/>
            <wp:effectExtent l="0" t="0" r="0" b="6350"/>
            <wp:wrapNone/>
            <wp:docPr id="513778810" name="Picture 1" descr="A logo with a compass and a blue and yellow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78810" name="Picture 1" descr="A logo with a compass and a blue and yellow let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698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4DD5E" w14:textId="77777777" w:rsidR="00163B7E" w:rsidRDefault="00163B7E">
      <w:pPr>
        <w:pStyle w:val="BodyText"/>
        <w:rPr>
          <w:rFonts w:ascii="Times New Roman"/>
          <w:sz w:val="22"/>
        </w:rPr>
      </w:pPr>
    </w:p>
    <w:p w14:paraId="52BD0A3B" w14:textId="77777777" w:rsidR="00163B7E" w:rsidRDefault="00163B7E">
      <w:pPr>
        <w:pStyle w:val="BodyText"/>
        <w:spacing w:before="203"/>
        <w:rPr>
          <w:rFonts w:ascii="Times New Roman"/>
          <w:sz w:val="22"/>
        </w:rPr>
      </w:pPr>
    </w:p>
    <w:p w14:paraId="393E6449" w14:textId="29D2FDE7" w:rsidR="00163B7E" w:rsidRPr="00B50434" w:rsidRDefault="009F5143" w:rsidP="7176D045">
      <w:pPr>
        <w:jc w:val="center"/>
        <w:rPr>
          <w:b/>
          <w:bCs/>
          <w:sz w:val="24"/>
          <w:szCs w:val="24"/>
        </w:rPr>
      </w:pPr>
      <w:r w:rsidRPr="7176D045">
        <w:rPr>
          <w:b/>
          <w:bCs/>
          <w:sz w:val="24"/>
          <w:szCs w:val="24"/>
        </w:rPr>
        <w:t>Smart Start Savings Account</w:t>
      </w:r>
      <w:r w:rsidRPr="7176D045">
        <w:rPr>
          <w:b/>
          <w:bCs/>
          <w:spacing w:val="-10"/>
          <w:sz w:val="24"/>
          <w:szCs w:val="24"/>
        </w:rPr>
        <w:t xml:space="preserve"> </w:t>
      </w:r>
      <w:r w:rsidRPr="7176D045">
        <w:rPr>
          <w:b/>
          <w:bCs/>
          <w:sz w:val="24"/>
          <w:szCs w:val="24"/>
        </w:rPr>
        <w:t>rates</w:t>
      </w:r>
      <w:r w:rsidRPr="7176D045">
        <w:rPr>
          <w:b/>
          <w:bCs/>
          <w:spacing w:val="-5"/>
          <w:sz w:val="24"/>
          <w:szCs w:val="24"/>
        </w:rPr>
        <w:t xml:space="preserve"> </w:t>
      </w:r>
      <w:r w:rsidRPr="7176D045">
        <w:rPr>
          <w:b/>
          <w:bCs/>
          <w:sz w:val="24"/>
          <w:szCs w:val="24"/>
        </w:rPr>
        <w:t>effective</w:t>
      </w:r>
      <w:r w:rsidRPr="7176D045">
        <w:rPr>
          <w:b/>
          <w:bCs/>
          <w:spacing w:val="-4"/>
          <w:sz w:val="24"/>
          <w:szCs w:val="24"/>
        </w:rPr>
        <w:t xml:space="preserve"> </w:t>
      </w:r>
      <w:r w:rsidR="00E76BCF">
        <w:rPr>
          <w:b/>
          <w:bCs/>
          <w:sz w:val="24"/>
          <w:szCs w:val="24"/>
        </w:rPr>
        <w:t>April 10, 2026</w:t>
      </w:r>
    </w:p>
    <w:p w14:paraId="299A0722" w14:textId="77777777" w:rsidR="00163B7E" w:rsidRDefault="00163B7E">
      <w:pPr>
        <w:pStyle w:val="BodyText"/>
        <w:spacing w:after="1"/>
        <w:rPr>
          <w:b/>
          <w:sz w:val="15"/>
        </w:rPr>
      </w:pPr>
    </w:p>
    <w:tbl>
      <w:tblPr>
        <w:tblW w:w="0" w:type="auto"/>
        <w:tblInd w:w="1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3056"/>
      </w:tblGrid>
      <w:tr w:rsidR="009F5143" w14:paraId="5313371B" w14:textId="77777777" w:rsidTr="00862921">
        <w:trPr>
          <w:trHeight w:val="409"/>
        </w:trPr>
        <w:tc>
          <w:tcPr>
            <w:tcW w:w="2612" w:type="dxa"/>
            <w:shd w:val="clear" w:color="auto" w:fill="193A8B"/>
          </w:tcPr>
          <w:p w14:paraId="2C194F6C" w14:textId="66F05A2F" w:rsidR="009F5143" w:rsidRPr="00B50434" w:rsidRDefault="009F5143">
            <w:pPr>
              <w:pStyle w:val="TableParagraph"/>
              <w:spacing w:line="268" w:lineRule="exact"/>
              <w:ind w:left="7"/>
              <w:rPr>
                <w:b/>
                <w:sz w:val="24"/>
                <w:szCs w:val="24"/>
              </w:rPr>
            </w:pPr>
            <w:r w:rsidRPr="00B50434">
              <w:rPr>
                <w:b/>
                <w:sz w:val="24"/>
                <w:szCs w:val="24"/>
              </w:rPr>
              <w:t>Balance Range</w:t>
            </w:r>
          </w:p>
        </w:tc>
        <w:tc>
          <w:tcPr>
            <w:tcW w:w="3056" w:type="dxa"/>
            <w:shd w:val="clear" w:color="auto" w:fill="193A8B"/>
          </w:tcPr>
          <w:p w14:paraId="62089B2E" w14:textId="4C379675" w:rsidR="009F5143" w:rsidRPr="00B50434" w:rsidRDefault="0044726A">
            <w:pPr>
              <w:pStyle w:val="TableParagraph"/>
              <w:spacing w:line="268" w:lineRule="exact"/>
              <w:ind w:left="8"/>
              <w:rPr>
                <w:b/>
                <w:sz w:val="24"/>
                <w:szCs w:val="24"/>
              </w:rPr>
            </w:pPr>
            <w:r w:rsidRPr="0044726A">
              <w:rPr>
                <w:b/>
                <w:sz w:val="24"/>
                <w:szCs w:val="24"/>
              </w:rPr>
              <w:t>Annual Percentage Yield (APY)</w:t>
            </w:r>
          </w:p>
        </w:tc>
      </w:tr>
      <w:tr w:rsidR="009F5143" w14:paraId="00919D77" w14:textId="77777777" w:rsidTr="00862921">
        <w:trPr>
          <w:trHeight w:val="269"/>
        </w:trPr>
        <w:tc>
          <w:tcPr>
            <w:tcW w:w="2612" w:type="dxa"/>
          </w:tcPr>
          <w:p w14:paraId="2335EBF7" w14:textId="2E7D6BE6" w:rsidR="009F5143" w:rsidRPr="00B50434" w:rsidRDefault="009F5143">
            <w:pPr>
              <w:pStyle w:val="TableParagraph"/>
              <w:ind w:left="7" w:right="3"/>
              <w:rPr>
                <w:b/>
                <w:sz w:val="24"/>
                <w:szCs w:val="24"/>
              </w:rPr>
            </w:pPr>
            <w:r w:rsidRPr="00B50434">
              <w:rPr>
                <w:b/>
                <w:spacing w:val="-2"/>
                <w:sz w:val="24"/>
                <w:szCs w:val="24"/>
              </w:rPr>
              <w:t>$0.01 - $10,000</w:t>
            </w:r>
          </w:p>
        </w:tc>
        <w:tc>
          <w:tcPr>
            <w:tcW w:w="3056" w:type="dxa"/>
          </w:tcPr>
          <w:p w14:paraId="66AA1E72" w14:textId="77777777" w:rsidR="009F5143" w:rsidRPr="00B50434" w:rsidRDefault="009F5143">
            <w:pPr>
              <w:pStyle w:val="TableParagraph"/>
              <w:ind w:left="8" w:right="1"/>
              <w:rPr>
                <w:sz w:val="24"/>
                <w:szCs w:val="24"/>
              </w:rPr>
            </w:pPr>
            <w:r w:rsidRPr="00B50434">
              <w:rPr>
                <w:spacing w:val="-2"/>
                <w:sz w:val="24"/>
                <w:szCs w:val="24"/>
              </w:rPr>
              <w:t>3.00%</w:t>
            </w:r>
          </w:p>
        </w:tc>
      </w:tr>
      <w:tr w:rsidR="009F5143" w14:paraId="7AE18773" w14:textId="77777777" w:rsidTr="00862921">
        <w:trPr>
          <w:trHeight w:val="269"/>
        </w:trPr>
        <w:tc>
          <w:tcPr>
            <w:tcW w:w="2612" w:type="dxa"/>
          </w:tcPr>
          <w:p w14:paraId="1BDC2EE3" w14:textId="3A304ACB" w:rsidR="009F5143" w:rsidRPr="00B50434" w:rsidRDefault="009F5143">
            <w:pPr>
              <w:pStyle w:val="TableParagraph"/>
              <w:ind w:left="7" w:right="3"/>
              <w:rPr>
                <w:b/>
                <w:spacing w:val="-2"/>
                <w:sz w:val="24"/>
                <w:szCs w:val="24"/>
              </w:rPr>
            </w:pPr>
            <w:r w:rsidRPr="00B50434">
              <w:rPr>
                <w:b/>
                <w:spacing w:val="-2"/>
                <w:sz w:val="24"/>
                <w:szCs w:val="24"/>
              </w:rPr>
              <w:t>$10,000.01 and above</w:t>
            </w:r>
          </w:p>
        </w:tc>
        <w:tc>
          <w:tcPr>
            <w:tcW w:w="3056" w:type="dxa"/>
          </w:tcPr>
          <w:p w14:paraId="68FF6A44" w14:textId="61BF31C2" w:rsidR="009F5143" w:rsidRPr="00B50434" w:rsidRDefault="009F5143">
            <w:pPr>
              <w:pStyle w:val="TableParagraph"/>
              <w:ind w:left="8" w:right="1"/>
              <w:rPr>
                <w:spacing w:val="-2"/>
                <w:sz w:val="24"/>
                <w:szCs w:val="24"/>
              </w:rPr>
            </w:pPr>
            <w:r w:rsidRPr="00B50434">
              <w:rPr>
                <w:spacing w:val="-2"/>
                <w:sz w:val="24"/>
                <w:szCs w:val="24"/>
              </w:rPr>
              <w:t>0.01%</w:t>
            </w:r>
          </w:p>
        </w:tc>
      </w:tr>
    </w:tbl>
    <w:p w14:paraId="65233243" w14:textId="0BF3BEF0" w:rsidR="00683ED0" w:rsidRDefault="00683ED0" w:rsidP="009F5143">
      <w:pPr>
        <w:pStyle w:val="BodyText"/>
        <w:spacing w:before="268"/>
        <w:ind w:right="191"/>
      </w:pPr>
      <w:r w:rsidRPr="00A22E76">
        <w:t>The dividend rate and annual percentage yield may change after the account is opened.</w:t>
      </w:r>
    </w:p>
    <w:p w14:paraId="56787CE6" w14:textId="2E895233" w:rsidR="009F5143" w:rsidRDefault="004E38BD" w:rsidP="009F5143">
      <w:pPr>
        <w:pStyle w:val="BodyText"/>
        <w:spacing w:before="268"/>
        <w:ind w:right="191"/>
      </w:pPr>
      <w:r>
        <w:t>Dividends</w:t>
      </w:r>
      <w:r w:rsidR="009F5143">
        <w:t xml:space="preserve"> </w:t>
      </w:r>
      <w:r>
        <w:t>are</w:t>
      </w:r>
      <w:r w:rsidR="009F5143">
        <w:t xml:space="preserve"> </w:t>
      </w:r>
      <w:r w:rsidR="009F5143" w:rsidRPr="074616FB">
        <w:rPr>
          <w:b/>
          <w:bCs/>
        </w:rPr>
        <w:t>compounded and credited monthly</w:t>
      </w:r>
      <w:r w:rsidR="009F5143">
        <w:t>.</w:t>
      </w:r>
    </w:p>
    <w:p w14:paraId="675B6CDB" w14:textId="2FBDB9EA" w:rsidR="0C69D6CC" w:rsidRDefault="0C69D6CC" w:rsidP="074616FB">
      <w:pPr>
        <w:spacing w:before="268"/>
        <w:ind w:right="191"/>
      </w:pPr>
      <w:r w:rsidRPr="074616FB">
        <w:rPr>
          <w:b/>
          <w:bCs/>
        </w:rPr>
        <w:t>Age Requirement:</w:t>
      </w:r>
      <w:r w:rsidRPr="074616FB">
        <w:t xml:space="preserve"> The </w:t>
      </w:r>
      <w:r w:rsidRPr="074616FB">
        <w:rPr>
          <w:b/>
          <w:bCs/>
        </w:rPr>
        <w:t xml:space="preserve">3.00% </w:t>
      </w:r>
      <w:r w:rsidR="004E38BD">
        <w:rPr>
          <w:b/>
          <w:bCs/>
        </w:rPr>
        <w:t>dividend</w:t>
      </w:r>
      <w:r w:rsidRPr="074616FB">
        <w:rPr>
          <w:b/>
          <w:bCs/>
        </w:rPr>
        <w:t xml:space="preserve"> rate</w:t>
      </w:r>
      <w:r w:rsidRPr="074616FB">
        <w:t xml:space="preserve"> is available until the account holder turns </w:t>
      </w:r>
      <w:r w:rsidRPr="074616FB">
        <w:rPr>
          <w:b/>
          <w:bCs/>
        </w:rPr>
        <w:t>22 years old</w:t>
      </w:r>
      <w:r w:rsidRPr="074616FB">
        <w:t xml:space="preserve">. At the </w:t>
      </w:r>
      <w:r w:rsidRPr="074616FB">
        <w:rPr>
          <w:b/>
          <w:bCs/>
        </w:rPr>
        <w:t>end of the calendar month in which the account holder turns 22</w:t>
      </w:r>
      <w:r w:rsidRPr="074616FB">
        <w:t xml:space="preserve">, the entire account will </w:t>
      </w:r>
      <w:proofErr w:type="gramStart"/>
      <w:r w:rsidRPr="074616FB">
        <w:t>convert</w:t>
      </w:r>
      <w:proofErr w:type="gramEnd"/>
      <w:r w:rsidRPr="074616FB">
        <w:t xml:space="preserve"> to the </w:t>
      </w:r>
      <w:r w:rsidRPr="074616FB">
        <w:rPr>
          <w:b/>
          <w:bCs/>
        </w:rPr>
        <w:t>standard Secondary Share rate of 0.01%</w:t>
      </w:r>
      <w:r w:rsidRPr="074616FB">
        <w:t>.</w:t>
      </w:r>
    </w:p>
    <w:p w14:paraId="109C567B" w14:textId="77777777" w:rsidR="009F5143" w:rsidRPr="00B50434" w:rsidRDefault="009F5143" w:rsidP="009F5143">
      <w:pPr>
        <w:pStyle w:val="BodyText"/>
        <w:spacing w:before="2"/>
        <w:rPr>
          <w:b/>
        </w:rPr>
      </w:pPr>
    </w:p>
    <w:p w14:paraId="7C046C9F" w14:textId="0F0842E1" w:rsidR="009F5143" w:rsidRPr="00B50434" w:rsidRDefault="004E38BD" w:rsidP="009F5143">
      <w:pPr>
        <w:pStyle w:val="BodyText"/>
        <w:spacing w:before="2"/>
        <w:rPr>
          <w:b/>
        </w:rPr>
      </w:pPr>
      <w:r>
        <w:rPr>
          <w:b/>
        </w:rPr>
        <w:t>Dividend</w:t>
      </w:r>
      <w:r w:rsidR="009F5143" w:rsidRPr="00B50434">
        <w:rPr>
          <w:b/>
        </w:rPr>
        <w:t xml:space="preserve"> Accrual &amp; Payment</w:t>
      </w:r>
    </w:p>
    <w:p w14:paraId="0EAB605F" w14:textId="1C03EA90" w:rsidR="00163B7E" w:rsidRPr="00B50434" w:rsidRDefault="004E38BD" w:rsidP="009F5143">
      <w:pPr>
        <w:pStyle w:val="BodyText"/>
        <w:spacing w:before="2"/>
        <w:rPr>
          <w:bCs/>
        </w:rPr>
      </w:pPr>
      <w:r>
        <w:rPr>
          <w:bCs/>
        </w:rPr>
        <w:t>Dividends</w:t>
      </w:r>
      <w:r w:rsidR="009F5143" w:rsidRPr="00B50434">
        <w:rPr>
          <w:bCs/>
        </w:rPr>
        <w:t xml:space="preserve"> </w:t>
      </w:r>
      <w:r w:rsidRPr="00B50434">
        <w:rPr>
          <w:bCs/>
        </w:rPr>
        <w:t>begin</w:t>
      </w:r>
      <w:r w:rsidR="009F5143" w:rsidRPr="00B50434">
        <w:rPr>
          <w:bCs/>
        </w:rPr>
        <w:t xml:space="preserve"> accruing on the business day deposits (cash or non-cash items, such as checks) are made to the account. The </w:t>
      </w:r>
      <w:r>
        <w:rPr>
          <w:bCs/>
        </w:rPr>
        <w:t>dividend</w:t>
      </w:r>
      <w:r w:rsidR="009F5143" w:rsidRPr="00B50434">
        <w:rPr>
          <w:bCs/>
        </w:rPr>
        <w:t xml:space="preserve"> period starts on the first calendar day of the month and ends on the last calendar day of the month. If the account is closed before </w:t>
      </w:r>
      <w:r>
        <w:rPr>
          <w:bCs/>
        </w:rPr>
        <w:t>dividends</w:t>
      </w:r>
      <w:r w:rsidR="009F5143" w:rsidRPr="00B50434">
        <w:rPr>
          <w:bCs/>
        </w:rPr>
        <w:t xml:space="preserve"> </w:t>
      </w:r>
      <w:r>
        <w:rPr>
          <w:bCs/>
        </w:rPr>
        <w:t>are</w:t>
      </w:r>
      <w:r w:rsidR="009F5143" w:rsidRPr="00B50434">
        <w:rPr>
          <w:bCs/>
        </w:rPr>
        <w:t xml:space="preserve"> credited, accrued </w:t>
      </w:r>
      <w:r>
        <w:rPr>
          <w:bCs/>
        </w:rPr>
        <w:t>dividends</w:t>
      </w:r>
      <w:r w:rsidR="009F5143" w:rsidRPr="00B50434">
        <w:rPr>
          <w:bCs/>
        </w:rPr>
        <w:t xml:space="preserve"> for the final period will not be paid.</w:t>
      </w:r>
      <w:r w:rsidR="00CE04F1">
        <w:rPr>
          <w:bCs/>
        </w:rPr>
        <w:t xml:space="preserve"> </w:t>
      </w:r>
      <w:r w:rsidR="00CE04F1" w:rsidRPr="00CE04F1">
        <w:rPr>
          <w:bCs/>
        </w:rPr>
        <w:t>Fees may reduce earnings on the account.</w:t>
      </w:r>
    </w:p>
    <w:p w14:paraId="3EC613BB" w14:textId="5C53B75D" w:rsidR="00862921" w:rsidRPr="00B50434" w:rsidRDefault="00862921" w:rsidP="00862921">
      <w:pPr>
        <w:pStyle w:val="BodyText"/>
        <w:spacing w:before="2"/>
      </w:pPr>
    </w:p>
    <w:p w14:paraId="1C5180B1" w14:textId="42F1D8AF" w:rsidR="00163B7E" w:rsidRPr="00B50434" w:rsidRDefault="00862921" w:rsidP="00862921">
      <w:pPr>
        <w:pStyle w:val="Title"/>
        <w:ind w:left="0"/>
        <w:rPr>
          <w:sz w:val="24"/>
          <w:szCs w:val="24"/>
        </w:rPr>
      </w:pPr>
      <w:r w:rsidRPr="00862921">
        <w:rPr>
          <w:sz w:val="24"/>
          <w:szCs w:val="24"/>
        </w:rPr>
        <w:t xml:space="preserve">As a condition of membership, each account holder agrees to the terms of this disclosure. Pioneer AFCU reserves the right to modify </w:t>
      </w:r>
      <w:r w:rsidR="004E38BD">
        <w:rPr>
          <w:sz w:val="24"/>
          <w:szCs w:val="24"/>
        </w:rPr>
        <w:t>dividend</w:t>
      </w:r>
      <w:r w:rsidRPr="00862921">
        <w:rPr>
          <w:sz w:val="24"/>
          <w:szCs w:val="24"/>
        </w:rPr>
        <w:t xml:space="preserve"> rates and/or update product offerings at any time.</w:t>
      </w:r>
    </w:p>
    <w:p w14:paraId="7DC2BAD2" w14:textId="77777777" w:rsidR="00163B7E" w:rsidRPr="00B50434" w:rsidRDefault="00163B7E">
      <w:pPr>
        <w:pStyle w:val="BodyText"/>
        <w:spacing w:before="195"/>
        <w:rPr>
          <w:b/>
        </w:rPr>
      </w:pPr>
    </w:p>
    <w:p w14:paraId="58DE31FC" w14:textId="77777777" w:rsidR="00862921" w:rsidRPr="00B50434" w:rsidRDefault="00862921" w:rsidP="00862921">
      <w:pPr>
        <w:jc w:val="center"/>
        <w:rPr>
          <w:rFonts w:asciiTheme="minorHAnsi" w:hAnsiTheme="minorHAnsi" w:cstheme="minorHAnsi"/>
          <w:sz w:val="24"/>
          <w:szCs w:val="24"/>
        </w:rPr>
      </w:pPr>
      <w:r w:rsidRPr="00B50434">
        <w:rPr>
          <w:rFonts w:asciiTheme="minorHAnsi" w:hAnsiTheme="minorHAnsi" w:cstheme="minorHAnsi"/>
          <w:sz w:val="24"/>
          <w:szCs w:val="24"/>
        </w:rPr>
        <w:t>Federally insured by NCUA.</w:t>
      </w:r>
      <w:r w:rsidRPr="00B50434">
        <w:rPr>
          <w:rFonts w:asciiTheme="minorHAnsi" w:hAnsiTheme="minorHAnsi" w:cstheme="minorHAnsi"/>
          <w:sz w:val="24"/>
          <w:szCs w:val="24"/>
        </w:rPr>
        <w:br/>
        <w:t>Deposits with Pioneer AFCU are federally insured by</w:t>
      </w:r>
    </w:p>
    <w:p w14:paraId="5F306331" w14:textId="77777777" w:rsidR="00862921" w:rsidRPr="00B50434" w:rsidRDefault="00862921" w:rsidP="00862921">
      <w:pPr>
        <w:jc w:val="center"/>
        <w:rPr>
          <w:rFonts w:asciiTheme="minorHAnsi" w:hAnsiTheme="minorHAnsi" w:cstheme="minorHAnsi"/>
          <w:sz w:val="24"/>
          <w:szCs w:val="24"/>
        </w:rPr>
      </w:pPr>
      <w:r w:rsidRPr="00B50434">
        <w:rPr>
          <w:rFonts w:asciiTheme="minorHAnsi" w:hAnsiTheme="minorHAnsi" w:cstheme="minorHAnsi"/>
          <w:sz w:val="24"/>
          <w:szCs w:val="24"/>
        </w:rPr>
        <w:t>the National Credit Union Share Insurance Fund (NCUSIF) up to $250,000.</w:t>
      </w:r>
    </w:p>
    <w:p w14:paraId="5E5A360D" w14:textId="77777777" w:rsidR="00862921" w:rsidRPr="00B50434" w:rsidRDefault="00862921" w:rsidP="00862921">
      <w:pPr>
        <w:rPr>
          <w:rFonts w:asciiTheme="minorHAnsi" w:hAnsiTheme="minorHAnsi" w:cstheme="minorHAnsi"/>
          <w:sz w:val="24"/>
          <w:szCs w:val="24"/>
        </w:rPr>
      </w:pPr>
    </w:p>
    <w:p w14:paraId="45D8761A" w14:textId="77777777" w:rsidR="00862921" w:rsidRPr="00B50434" w:rsidRDefault="00862921" w:rsidP="00862921">
      <w:pPr>
        <w:jc w:val="center"/>
        <w:rPr>
          <w:rFonts w:asciiTheme="minorHAnsi" w:hAnsiTheme="minorHAnsi" w:cstheme="minorHAnsi"/>
          <w:sz w:val="24"/>
          <w:szCs w:val="24"/>
        </w:rPr>
      </w:pPr>
      <w:r w:rsidRPr="00B50434">
        <w:rPr>
          <w:rFonts w:asciiTheme="minorHAnsi" w:hAnsiTheme="minorHAnsi" w:cstheme="minorHAnsi"/>
          <w:sz w:val="24"/>
          <w:szCs w:val="24"/>
        </w:rPr>
        <w:t>Details on how share insurance works can</w:t>
      </w:r>
    </w:p>
    <w:p w14:paraId="0D4FB754" w14:textId="5EC39C0D" w:rsidR="00163B7E" w:rsidRPr="00B50434" w:rsidRDefault="00862921" w:rsidP="00862921">
      <w:pPr>
        <w:pStyle w:val="BodyText"/>
        <w:ind w:left="2573" w:right="2510" w:hanging="2"/>
        <w:jc w:val="center"/>
        <w:rPr>
          <w:rFonts w:asciiTheme="minorHAnsi" w:hAnsiTheme="minorHAnsi" w:cstheme="minorHAnsi"/>
        </w:rPr>
      </w:pPr>
      <w:r w:rsidRPr="00B50434">
        <w:rPr>
          <w:rFonts w:asciiTheme="minorHAnsi" w:hAnsiTheme="minorHAnsi" w:cstheme="minorHAnsi"/>
        </w:rPr>
        <w:t xml:space="preserve">be found at: </w:t>
      </w:r>
      <w:hyperlink r:id="rId6" w:history="1">
        <w:r w:rsidRPr="00B50434">
          <w:rPr>
            <w:rStyle w:val="Hyperlink"/>
            <w:rFonts w:asciiTheme="minorHAnsi" w:hAnsiTheme="minorHAnsi" w:cstheme="minorHAnsi"/>
          </w:rPr>
          <w:t>https://www.mycreditunion.gov/share insurance</w:t>
        </w:r>
      </w:hyperlink>
    </w:p>
    <w:sectPr w:rsidR="00163B7E" w:rsidRPr="00B50434">
      <w:type w:val="continuous"/>
      <w:pgSz w:w="12240" w:h="15840"/>
      <w:pgMar w:top="148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0CE"/>
    <w:multiLevelType w:val="multilevel"/>
    <w:tmpl w:val="0046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986AE1"/>
    <w:multiLevelType w:val="multilevel"/>
    <w:tmpl w:val="1802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986112">
    <w:abstractNumId w:val="1"/>
  </w:num>
  <w:num w:numId="2" w16cid:durableId="14766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7E"/>
    <w:rsid w:val="00163B7E"/>
    <w:rsid w:val="0040242D"/>
    <w:rsid w:val="0044726A"/>
    <w:rsid w:val="004E38BD"/>
    <w:rsid w:val="00683ED0"/>
    <w:rsid w:val="006A45FC"/>
    <w:rsid w:val="00862921"/>
    <w:rsid w:val="008D6804"/>
    <w:rsid w:val="009F5143"/>
    <w:rsid w:val="00A22E76"/>
    <w:rsid w:val="00B47BB0"/>
    <w:rsid w:val="00B50434"/>
    <w:rsid w:val="00CE04F1"/>
    <w:rsid w:val="00DD6CD6"/>
    <w:rsid w:val="00E76BCF"/>
    <w:rsid w:val="00E96EC4"/>
    <w:rsid w:val="074616FB"/>
    <w:rsid w:val="0C69D6CC"/>
    <w:rsid w:val="65E78872"/>
    <w:rsid w:val="7176D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513E5"/>
  <w15:docId w15:val="{9FA025A4-EC3C-4712-B67D-1F91A395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 w:right="9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6292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62921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629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creditunion.gov/share%20insuran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1231</Characters>
  <Application>Microsoft Office Word</Application>
  <DocSecurity>0</DocSecurity>
  <Lines>41</Lines>
  <Paragraphs>22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Spradling</dc:creator>
  <cp:lastModifiedBy>Jacob Losh</cp:lastModifiedBy>
  <cp:revision>8</cp:revision>
  <dcterms:created xsi:type="dcterms:W3CDTF">2025-03-11T13:32:00Z</dcterms:created>
  <dcterms:modified xsi:type="dcterms:W3CDTF">2026-04-10T19:29:00Z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for Microsoft 365</vt:lpwstr>
  </property>
</Properties>
</file>